
<file path=[Content_Types].xml><?xml version="1.0" encoding="utf-8"?>
<Types xmlns="http://schemas.openxmlformats.org/package/2006/content-types">
  <Default Extension="jpeg" ContentType="image/jpeg"/>
  <Default Extension="JPG" ContentType="image/.jpg"/>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铁匠坞水库防洪抢险应急预案</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1  总则</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1.1  编制目的</w:t>
      </w:r>
    </w:p>
    <w:p>
      <w:pPr>
        <w:widowControl/>
        <w:pBdr>
          <w:top w:val="none" w:color="000000" w:sz="0" w:space="3"/>
          <w:left w:val="none" w:color="000000" w:sz="0" w:space="3"/>
          <w:bottom w:val="none" w:color="000000" w:sz="0" w:space="3"/>
          <w:right w:val="none" w:color="000000" w:sz="0" w:space="3"/>
        </w:pBdr>
        <w:shd w:val="clear" w:color="000000" w:fill="FFFFFF"/>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为预防灾害性水文气候和工程本身突发性重大险情和各种突发事件发生时，有效保护国家和人民生命财产安全，最大限度地防止和减轻灾害损失，保证水库安全，结合铁匠坞水库自身特点和工程实际，特编制本预案。</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1.2  编制依据</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《应急预案》的编制依据是《中华人民共和国防洪法》、《中华人民共和国防汛条例》、《水库大坝安全管理条例》等有关法律、法规、规章以及有关技术规范、规程和经批准的水库汛期调度运用计划。</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2  基本情况</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2.1  工程概况</w:t>
      </w:r>
    </w:p>
    <w:p>
      <w:pPr>
        <w:spacing w:line="560" w:lineRule="atLeast"/>
        <w:ind w:firstLine="560" w:firstLineChars="200"/>
        <w:jc w:val="left"/>
        <w:rPr>
          <w:rFonts w:hint="eastAsia" w:ascii="宋体" w:hAnsi="宋体" w:eastAsia="宋体" w:cs="宋体"/>
          <w:sz w:val="28"/>
          <w:szCs w:val="28"/>
        </w:rPr>
      </w:pPr>
      <w:r>
        <w:rPr>
          <w:rFonts w:hint="eastAsia" w:ascii="宋体" w:hAnsi="宋体" w:eastAsia="宋体" w:cs="宋体"/>
          <w:sz w:val="28"/>
          <w:szCs w:val="28"/>
        </w:rPr>
        <w:t>该工程始建于1958年，2010年溢洪道拓宽，2013年进行除险加固达到现有规模。集雨面积0.77平方公里，总库容20.4万m3，有效库容17.1万m3，防洪库容3.3万m3，坝顶高程97.2米，最大坝高14.3米，坝顶长度68米，溢洪道底板高程94.5米，底宽3米，设计洪水标准20年一遇，灌溉放水采用斜管型式放水，涵管为0.8m×1.2m钢筋砼涵管，灌溉面积600亩，是一座以灌溉为主，兼有防洪等综合效益的小（二）型水库。水库枢纽建筑物主要由大坝、溢洪道、灌溉引水系统和渠系工程等组成。工程等别为Ⅴ等，永久性主要建筑物为5级，次要建筑物属5级。</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水库聘用了1名水库安全管理员负责日常管理工作，聘用了1名水库维养人员负责日常维养工作。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水库暂无主要安全问题。</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2.2  防洪调度方式</w:t>
      </w:r>
    </w:p>
    <w:p>
      <w:pPr>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主汛期为4－6月，汛期限制水位94.5m；后汛期7－9月，汛期限制水位94.5m。</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1）水库未达到汛限水位的防范措施。 开展以防汛为中心的安全检查，查缺陷，查隐患，主要对大坝、溢洪道、放水设施、防汛应急物资等进行全面认真地检查，发现缺陷和问题及时组织整改处理。</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2）水库水位达到汛限水位又遭遇洪水的主要措施</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a.水库防汛负责人、直接责任人、技术人员、安全管理员全部到岗到位，坚持24小时值班，并及时观测收集分析水雨情的变化情况。</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b.加强巡查，保证溢洪道泄洪通畅。</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c.加强与气象、水文、防汛部门的联系，及时上报水库水、雨、工情。</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3）当出现险情时或出现超标准洪水的主要措施</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a、水库的防汛调度工作坚决服从县、镇防指的领导和指挥。</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b、一般险情，利用电话、手机等通信设备及时向县、镇防汛部门汇报，并疏散周围受影响群众。</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c、当出现较危急汛情时，抢险队伍和抢险的防汛物资及时到位。并联系当地武警、民兵及干部职工进行抢险。</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d、出现危急汛情或出现超标准洪水时立即转移下游受威胁群众，并及时把汛情汇报给当地人民政府。本村干部负责此期间的交通管制，以确保人民的生命财产和国家财产的安全。</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2.3  历史险情及抢险情况</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本工程历史无险情发生。</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3  应急保障</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3.1  组织保障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行政责任人：</w:t>
      </w:r>
      <w:r>
        <w:rPr>
          <w:rFonts w:hint="eastAsia" w:ascii="宋体" w:hAnsi="宋体" w:eastAsia="宋体" w:cs="宋体"/>
          <w:bCs/>
          <w:sz w:val="28"/>
          <w:szCs w:val="28"/>
        </w:rPr>
        <w:t>周奇峰</w:t>
      </w:r>
      <w:r>
        <w:rPr>
          <w:rFonts w:hint="eastAsia" w:ascii="宋体" w:hAnsi="宋体" w:eastAsia="宋体" w:cs="宋体"/>
          <w:sz w:val="28"/>
          <w:szCs w:val="28"/>
        </w:rPr>
        <w:t>，联系电话：</w:t>
      </w:r>
      <w:r>
        <w:rPr>
          <w:rFonts w:hint="eastAsia" w:ascii="宋体" w:hAnsi="宋体" w:eastAsia="宋体" w:cs="宋体"/>
          <w:bCs/>
          <w:sz w:val="28"/>
          <w:szCs w:val="28"/>
        </w:rPr>
        <w:t>13807986618</w:t>
      </w:r>
      <w:r>
        <w:rPr>
          <w:rFonts w:hint="eastAsia" w:ascii="宋体" w:hAnsi="宋体" w:eastAsia="宋体" w:cs="宋体"/>
          <w:sz w:val="28"/>
          <w:szCs w:val="28"/>
        </w:rPr>
        <w:t>，，负责督促及时处理影响安全度汛的有关问题；督促开展水库汛前及汛期安全检查；督促制订水库防洪调度运用计划及防洪抢险应急预案；督促开展防汛值守、安全监测、管理维护、雨水情工情等防汛信息监测及报送；督促执行防洪调度指令和经批准的水库防洪调度运用计划；督促落实防汛经费、抢险队伍和物资储备；组织协调、现场指挥水库防洪和抢险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直接责任人：</w:t>
      </w:r>
      <w:r>
        <w:rPr>
          <w:rFonts w:hint="eastAsia" w:ascii="宋体" w:hAnsi="宋体" w:eastAsia="宋体" w:cs="宋体"/>
          <w:bCs/>
          <w:sz w:val="28"/>
          <w:szCs w:val="28"/>
        </w:rPr>
        <w:t>翟育勇</w:t>
      </w:r>
      <w:r>
        <w:rPr>
          <w:rFonts w:hint="eastAsia" w:ascii="宋体" w:hAnsi="宋体" w:eastAsia="宋体" w:cs="宋体"/>
          <w:sz w:val="28"/>
          <w:szCs w:val="28"/>
        </w:rPr>
        <w:t>，联系电话：</w:t>
      </w:r>
      <w:r>
        <w:rPr>
          <w:rFonts w:hint="eastAsia" w:ascii="宋体" w:hAnsi="宋体" w:eastAsia="宋体" w:cs="宋体"/>
          <w:bCs/>
          <w:sz w:val="28"/>
          <w:szCs w:val="28"/>
        </w:rPr>
        <w:t>13507985038</w:t>
      </w:r>
      <w:r>
        <w:rPr>
          <w:rFonts w:hint="eastAsia" w:ascii="宋体" w:hAnsi="宋体" w:eastAsia="宋体" w:cs="宋体"/>
          <w:sz w:val="28"/>
          <w:szCs w:val="28"/>
        </w:rPr>
        <w:t>；负责执行防洪调度指令和经批准的防洪调度运用计划；负责组织水库防汛安全检查和安全隐患处置；负责组织水库防汛值守、安全监测、管理维护、雨水情工情等防汛信息监测及报送；负责落实防汛经费；负责储备防汛物资、落实抢险队伍、组织防洪应急抢险；负责按有关规定做好水库大坝安全鉴定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技术责任人：</w:t>
      </w:r>
      <w:r>
        <w:rPr>
          <w:rFonts w:hint="eastAsia" w:ascii="宋体" w:hAnsi="宋体" w:eastAsia="宋体" w:cs="宋体"/>
          <w:bCs/>
          <w:sz w:val="28"/>
          <w:szCs w:val="28"/>
        </w:rPr>
        <w:t>彭长寿</w:t>
      </w:r>
      <w:r>
        <w:rPr>
          <w:rFonts w:hint="eastAsia" w:ascii="宋体" w:hAnsi="宋体" w:eastAsia="宋体" w:cs="宋体"/>
          <w:sz w:val="28"/>
          <w:szCs w:val="28"/>
        </w:rPr>
        <w:t>，联系电话：</w:t>
      </w:r>
      <w:r>
        <w:rPr>
          <w:rFonts w:hint="eastAsia" w:ascii="宋体" w:hAnsi="宋体" w:eastAsia="宋体" w:cs="宋体"/>
          <w:bCs/>
          <w:sz w:val="28"/>
          <w:szCs w:val="28"/>
        </w:rPr>
        <w:t>13707987619</w:t>
      </w:r>
      <w:r>
        <w:rPr>
          <w:rFonts w:hint="eastAsia" w:ascii="宋体" w:hAnsi="宋体" w:eastAsia="宋体" w:cs="宋体"/>
          <w:sz w:val="28"/>
          <w:szCs w:val="28"/>
        </w:rPr>
        <w:t>；负责制订水库防洪调度运用计划及防洪抢险应急预案；负责组织制定水库险情应急处置方案；负责指导水库洪水预测预报工作。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巡查责任人：周云龙，联系电话：15870055688；负责水雨情的观测和报汛工作；负责按要求对工程进行巡查，发现隐患或险情立即报告水库行政责任人；负责水库坝容坝貌和现场防汛物料管理；负责执行防洪调度指令和经批准的防洪调度运用计划。</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成立铁匠坞水库应急抢险临时指挥部，镇党委委员副镇长</w:t>
      </w:r>
      <w:r>
        <w:rPr>
          <w:rFonts w:hint="eastAsia" w:ascii="宋体" w:hAnsi="宋体" w:eastAsia="宋体" w:cs="宋体"/>
          <w:bCs/>
          <w:sz w:val="28"/>
          <w:szCs w:val="28"/>
        </w:rPr>
        <w:t>翟育勇</w:t>
      </w:r>
      <w:r>
        <w:rPr>
          <w:rFonts w:hint="eastAsia" w:ascii="宋体" w:hAnsi="宋体" w:eastAsia="宋体" w:cs="宋体"/>
          <w:sz w:val="28"/>
          <w:szCs w:val="28"/>
        </w:rPr>
        <w:t>任指挥，联系电话：</w:t>
      </w:r>
      <w:r>
        <w:rPr>
          <w:rFonts w:hint="eastAsia" w:ascii="宋体" w:hAnsi="宋体" w:eastAsia="宋体" w:cs="宋体"/>
          <w:bCs/>
          <w:sz w:val="28"/>
          <w:szCs w:val="28"/>
        </w:rPr>
        <w:t>13507985038</w:t>
      </w:r>
      <w:r>
        <w:rPr>
          <w:rFonts w:hint="eastAsia" w:ascii="宋体" w:hAnsi="宋体" w:eastAsia="宋体" w:cs="宋体"/>
          <w:sz w:val="28"/>
          <w:szCs w:val="28"/>
        </w:rPr>
        <w:t>；负责组织协调、现场指挥水库防洪和抢险工作；成员有：周云龙，联系电话：15870055688负责信息监测；董立春（电话：15079872222）负责转移安置；叶晓艺（电话：13687980605）负责临时生活保障；董立春15079872222负责组织应急抢险队伍。</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3.2  队伍保障</w:t>
      </w:r>
    </w:p>
    <w:p>
      <w:pPr>
        <w:spacing w:line="560" w:lineRule="atLeas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队长由东安村主任董立春担任，（电话：15079872222），并负责召集务工在家的村干部、组干部、党员、民兵及青壮年劳动力等30人。 </w:t>
      </w:r>
    </w:p>
    <w:p>
      <w:pPr>
        <w:widowControl/>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3.3  物资保障</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现场储备砂卵石10方、块石5方、编织袋150只、木头10根等应急抢险物资，管理人员周云龙，联系电话：15870055688。</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3.4  其它保障</w:t>
      </w:r>
    </w:p>
    <w:p>
      <w:pPr>
        <w:widowControl/>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通信、交通、电力保障措施分别由通信、交通、电力单位做好抢修保障工作。东安村委会负责组织汛前防洪抢险演练。</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4  巡查与险情处置</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4.1  巡查与险情报告</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4.1.1工程安排专人管理,监测、巡查、重点巡查库水位、大坝是否有漏水，溢洪道是否畅通，涵管是否漏水。汛期每天查一次，遇到下雨天要增加巡查次数，下强降雨时要24小时有人值班巡查。</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4.1.2平时的监测、巡查由水库管理员负责，并将每天巡查情况记录在册。下强降雨时由受益村负责人组织增加巡查人员。发现险情立即报告镇防指，如遇无法判断处理的险情，由镇防指及时向县防指汇报，并要求专家会诊，做到准确、科学地处理险情。</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4.2  险情处置</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水库巡查人员发现险情后，立即报告水库直接责任人及行政责任人；应急抢险临时指挥部制定水库险情处置方案，组织抢险队伍实施抢险。险情处置完毕后，安排人员值守监测。</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若险情将威胁大坝安全，做好下游危险区人员转移安置准备。</w:t>
      </w:r>
    </w:p>
    <w:p>
      <w:pPr>
        <w:ind w:firstLine="562" w:firstLineChars="200"/>
        <w:outlineLvl w:val="0"/>
        <w:rPr>
          <w:rFonts w:hint="eastAsia" w:ascii="宋体" w:hAnsi="宋体" w:eastAsia="宋体" w:cs="宋体"/>
          <w:b/>
          <w:sz w:val="28"/>
          <w:szCs w:val="28"/>
        </w:rPr>
      </w:pPr>
      <w:r>
        <w:rPr>
          <w:rFonts w:hint="eastAsia" w:ascii="宋体" w:hAnsi="宋体" w:eastAsia="宋体" w:cs="宋体"/>
          <w:b/>
          <w:sz w:val="28"/>
          <w:szCs w:val="28"/>
        </w:rPr>
        <w:t>5、超标准洪水与溃坝洪水防御方案</w:t>
      </w:r>
    </w:p>
    <w:p>
      <w:pPr>
        <w:ind w:firstLine="560" w:firstLineChars="200"/>
        <w:outlineLvl w:val="1"/>
        <w:rPr>
          <w:rFonts w:hint="eastAsia" w:ascii="宋体" w:hAnsi="宋体" w:eastAsia="宋体" w:cs="宋体"/>
          <w:sz w:val="28"/>
          <w:szCs w:val="28"/>
        </w:rPr>
      </w:pPr>
      <w:r>
        <w:rPr>
          <w:rFonts w:hint="eastAsia" w:ascii="宋体" w:hAnsi="宋体" w:eastAsia="宋体" w:cs="宋体"/>
          <w:sz w:val="28"/>
          <w:szCs w:val="28"/>
        </w:rPr>
        <w:t xml:space="preserve">5.1  超标准洪水防御方案 </w:t>
      </w:r>
    </w:p>
    <w:p>
      <w:pPr>
        <w:ind w:firstLine="560" w:firstLineChars="200"/>
        <w:outlineLvl w:val="1"/>
        <w:rPr>
          <w:rFonts w:hint="eastAsia" w:ascii="宋体" w:hAnsi="宋体" w:eastAsia="宋体" w:cs="宋体"/>
          <w:sz w:val="28"/>
          <w:szCs w:val="28"/>
        </w:rPr>
      </w:pPr>
      <w:r>
        <w:rPr>
          <w:rFonts w:hint="eastAsia" w:ascii="宋体" w:hAnsi="宋体" w:eastAsia="宋体" w:cs="宋体"/>
          <w:sz w:val="28"/>
          <w:szCs w:val="28"/>
        </w:rPr>
        <w:t>当水库上游流域内发生超标准洪水时，水库以保坝为原则，采取果断措施，排泄库内洪水，使洪水不漫坝，确保大坝安全。同时及时向县防汛指挥机构汇报，通知有关部门及时组织抢险队伍，按照防洪预案的具体要求，进行工程抢险及人员财产转移工作。当遇紧急情况时，及时发出紧急警报信号，同时，通过广播、电话等新闻媒体播送紧急通知，此时，防汛进入紧急状态。</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5.2  溃坝洪水防御方案</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1、若遇特大暴雨，水库水位上涨迅速，坝体发生异常，水库有溃坝迹象而又无法控制时，立即上报上级防汛部门，并立即与下游各级防汛单位取得联系，做好人员转移安置的准备工作。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2、水库即将溃坝，由镇政府有组织地做好受淹地区人员的转移安置工作。并通过有线广播、电话和各种通讯工具通知水库下游沿河各村、组，迅速转移低洼地区的人员和财产。</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3、抢险队伍按照部署全部到位，做好抢险准备。</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4、防汛救灾物资准备齐全，防汛车辆全部到位。确保通往水库的道路畅通。</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5、配备好二种以上的通讯设备，随时保持与外界的联系。</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6人员转移与安置</w:t>
      </w:r>
    </w:p>
    <w:p>
      <w:pPr>
        <w:widowControl/>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水库下游危险区范围有鲤鱼桥、余村村小组，户数25户，人口90人；转移安置负责人: 董立春15079872222；转移路线：就近；安置点：村后高地农户家；人员转移命令方式：鸣锣。</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7 附图和附表</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图1. 水库地理位置示意图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注：若下游有重要设施或重要保护对象，在图中予以标注。</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图2. 水库枢纽平面布置图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图3. 人员转移安置示意图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附表：</w:t>
      </w:r>
      <w:r>
        <w:rPr>
          <w:rFonts w:hint="eastAsia" w:ascii="宋体" w:hAnsi="宋体" w:eastAsia="宋体" w:cs="宋体"/>
          <w:sz w:val="28"/>
          <w:szCs w:val="28"/>
          <w:u w:val="single"/>
        </w:rPr>
        <w:t>2024</w:t>
      </w:r>
      <w:r>
        <w:rPr>
          <w:rFonts w:hint="eastAsia" w:ascii="宋体" w:hAnsi="宋体" w:eastAsia="宋体" w:cs="宋体"/>
          <w:sz w:val="28"/>
          <w:szCs w:val="28"/>
        </w:rPr>
        <w:t>年</w:t>
      </w:r>
      <w:r>
        <w:rPr>
          <w:rFonts w:hint="eastAsia" w:ascii="宋体" w:hAnsi="宋体" w:eastAsia="宋体" w:cs="宋体"/>
          <w:sz w:val="28"/>
          <w:szCs w:val="28"/>
          <w:u w:val="single"/>
        </w:rPr>
        <w:t>铁匠坞</w:t>
      </w:r>
      <w:r>
        <w:rPr>
          <w:rFonts w:hint="eastAsia" w:ascii="宋体" w:hAnsi="宋体" w:eastAsia="宋体" w:cs="宋体"/>
          <w:sz w:val="28"/>
          <w:szCs w:val="28"/>
        </w:rPr>
        <w:t>水库防洪抢险应急预案简表</w:t>
      </w:r>
    </w:p>
    <w:p>
      <w:pPr>
        <w:spacing w:line="240" w:lineRule="auto"/>
        <w:jc w:val="center"/>
        <w:rPr>
          <w:rFonts w:ascii="仿宋" w:hAnsi="仿宋" w:eastAsia="仿宋" w:cs="Times New Roman"/>
          <w:sz w:val="28"/>
          <w:szCs w:val="28"/>
        </w:rPr>
      </w:pPr>
      <w:r>
        <w:drawing>
          <wp:inline distT="0" distB="0" distL="114300" distR="114300">
            <wp:extent cx="5262880" cy="3168650"/>
            <wp:effectExtent l="0" t="0" r="0" b="0"/>
            <wp:docPr id="1" name="图片模式1"/>
            <wp:cNvGraphicFramePr/>
            <a:graphic xmlns:a="http://schemas.openxmlformats.org/drawingml/2006/main">
              <a:graphicData uri="http://schemas.openxmlformats.org/drawingml/2006/picture">
                <pic:pic xmlns:pic="http://schemas.openxmlformats.org/drawingml/2006/picture">
                  <pic:nvPicPr>
                    <pic:cNvPr id="1" name="图片模式1"/>
                    <pic:cNvPicPr/>
                  </pic:nvPicPr>
                  <pic:blipFill>
                    <a:blip r:embed="rId6" cstate="print"/>
                    <a:stretch>
                      <a:fillRect/>
                    </a:stretch>
                  </pic:blipFill>
                  <pic:spPr>
                    <a:xfrm>
                      <a:off x="0" y="0"/>
                      <a:ext cx="5262880" cy="3168650"/>
                    </a:xfrm>
                    <a:prstGeom prst="rect">
                      <a:avLst/>
                    </a:prstGeom>
                    <a:noFill/>
                    <a:ln w="12700">
                      <a:noFill/>
                    </a:ln>
                  </pic:spPr>
                </pic:pic>
              </a:graphicData>
            </a:graphic>
          </wp:inline>
        </w:drawing>
      </w:r>
    </w:p>
    <w:p>
      <w:pPr>
        <w:widowControl/>
        <w:jc w:val="center"/>
      </w:pPr>
      <w:r>
        <w:rPr>
          <w:rFonts w:hint="eastAsia" w:ascii="仿宋" w:hAnsi="仿宋" w:eastAsia="仿宋"/>
          <w:sz w:val="28"/>
          <w:szCs w:val="28"/>
        </w:rPr>
        <w:t>水库地理位置示意图</w:t>
      </w:r>
      <w:r>
        <w:drawing>
          <wp:inline distT="0" distB="0" distL="0" distR="0">
            <wp:extent cx="4312920" cy="4859020"/>
            <wp:effectExtent l="0" t="0" r="0" b="0"/>
            <wp:docPr id="2"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85"/>
                    <pic:cNvPicPr>
                      <a:picLocks noChangeAspect="1"/>
                    </pic:cNvPicPr>
                  </pic:nvPicPr>
                  <pic:blipFill>
                    <a:blip r:embed="rId7" cstate="print"/>
                    <a:srcRect l="33330" t="12320" r="44480" b="28010"/>
                    <a:stretch>
                      <a:fillRect/>
                    </a:stretch>
                  </pic:blipFill>
                  <pic:spPr>
                    <a:xfrm>
                      <a:off x="0" y="0"/>
                      <a:ext cx="4312920" cy="4859020"/>
                    </a:xfrm>
                    <a:prstGeom prst="rect">
                      <a:avLst/>
                    </a:prstGeom>
                    <a:noFill/>
                    <a:ln w="12700">
                      <a:noFill/>
                    </a:ln>
                  </pic:spPr>
                </pic:pic>
              </a:graphicData>
            </a:graphic>
          </wp:inline>
        </w:drawing>
      </w:r>
    </w:p>
    <w:p>
      <w:pPr>
        <w:widowControl/>
        <w:jc w:val="center"/>
        <w:rPr>
          <w:sz w:val="28"/>
          <w:szCs w:val="28"/>
        </w:rPr>
      </w:pPr>
      <w:r>
        <w:rPr>
          <w:sz w:val="28"/>
          <w:szCs w:val="28"/>
        </w:rPr>
        <w:t>铁匠坞水库平面布置图</w:t>
      </w:r>
    </w:p>
    <w:p>
      <w:pPr>
        <w:jc w:val="center"/>
      </w:pPr>
    </w:p>
    <w:p>
      <w:pPr>
        <w:jc w:val="center"/>
      </w:pPr>
    </w:p>
    <w:p>
      <w:pPr>
        <w:jc w:val="center"/>
      </w:pPr>
    </w:p>
    <w:p>
      <w:pPr>
        <w:jc w:val="center"/>
      </w:pPr>
    </w:p>
    <w:p>
      <w:pPr>
        <w:jc w:val="center"/>
      </w:pPr>
    </w:p>
    <w:p>
      <w:pPr>
        <w:jc w:val="left"/>
        <w:rPr>
          <w:b/>
          <w:sz w:val="36"/>
          <w:szCs w:val="36"/>
        </w:rPr>
      </w:pPr>
      <w:r>
        <w:drawing>
          <wp:inline distT="0" distB="0" distL="0" distR="0">
            <wp:extent cx="5274310" cy="3510915"/>
            <wp:effectExtent l="0" t="0" r="0" b="0"/>
            <wp:docPr id="3"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5"/>
                    <pic:cNvPicPr>
                      <a:picLocks noChangeAspect="1"/>
                    </pic:cNvPicPr>
                  </pic:nvPicPr>
                  <pic:blipFill>
                    <a:blip r:embed="rId8" cstate="print"/>
                    <a:stretch>
                      <a:fillRect/>
                    </a:stretch>
                  </pic:blipFill>
                  <pic:spPr>
                    <a:xfrm>
                      <a:off x="0" y="0"/>
                      <a:ext cx="5274310" cy="3510915"/>
                    </a:xfrm>
                    <a:prstGeom prst="rect">
                      <a:avLst/>
                    </a:prstGeom>
                    <a:noFill/>
                    <a:ln w="12700">
                      <a:noFill/>
                    </a:ln>
                  </pic:spPr>
                </pic:pic>
              </a:graphicData>
            </a:graphic>
          </wp:inline>
        </w:drawing>
      </w:r>
    </w:p>
    <w:p>
      <w:pPr>
        <w:jc w:val="center"/>
        <w:rPr>
          <w:b/>
          <w:sz w:val="36"/>
          <w:szCs w:val="36"/>
        </w:rPr>
      </w:pPr>
      <w:r>
        <w:rPr>
          <w:b/>
          <w:sz w:val="36"/>
          <w:szCs w:val="36"/>
        </w:rPr>
        <w:t>铁匠坞水库人员转移安置图</w:t>
      </w:r>
    </w:p>
    <w:p>
      <w:pPr>
        <w:jc w:val="center"/>
      </w:pPr>
    </w:p>
    <w:p>
      <w:pPr>
        <w:sectPr>
          <w:endnotePr>
            <w:numFmt w:val="decimal"/>
          </w:endnotePr>
          <w:pgSz w:w="11906" w:h="16838"/>
          <w:pgMar w:top="1440" w:right="1800" w:bottom="1440" w:left="1800" w:header="720" w:footer="720" w:gutter="0"/>
          <w:pgNumType w:start="56"/>
          <w:cols w:space="720" w:num="1"/>
        </w:sectPr>
      </w:pPr>
    </w:p>
    <w:tbl>
      <w:tblPr>
        <w:tblStyle w:val="5"/>
        <w:tblW w:w="15164" w:type="dxa"/>
        <w:jc w:val="center"/>
        <w:tblLayout w:type="autofit"/>
        <w:tblCellMar>
          <w:top w:w="0" w:type="dxa"/>
          <w:left w:w="10" w:type="dxa"/>
          <w:bottom w:w="0" w:type="dxa"/>
          <w:right w:w="10" w:type="dxa"/>
        </w:tblCellMar>
      </w:tblPr>
      <w:tblGrid>
        <w:gridCol w:w="436"/>
        <w:gridCol w:w="953"/>
        <w:gridCol w:w="33"/>
        <w:gridCol w:w="34"/>
        <w:gridCol w:w="329"/>
        <w:gridCol w:w="331"/>
        <w:gridCol w:w="95"/>
        <w:gridCol w:w="60"/>
        <w:gridCol w:w="1157"/>
        <w:gridCol w:w="425"/>
        <w:gridCol w:w="1020"/>
        <w:gridCol w:w="61"/>
        <w:gridCol w:w="1071"/>
        <w:gridCol w:w="135"/>
        <w:gridCol w:w="461"/>
        <w:gridCol w:w="1420"/>
        <w:gridCol w:w="1092"/>
        <w:gridCol w:w="197"/>
        <w:gridCol w:w="1067"/>
        <w:gridCol w:w="305"/>
        <w:gridCol w:w="1261"/>
        <w:gridCol w:w="160"/>
        <w:gridCol w:w="230"/>
        <w:gridCol w:w="378"/>
        <w:gridCol w:w="281"/>
        <w:gridCol w:w="344"/>
        <w:gridCol w:w="277"/>
        <w:gridCol w:w="382"/>
        <w:gridCol w:w="1169"/>
      </w:tblGrid>
      <w:tr>
        <w:tblPrEx>
          <w:tblCellMar>
            <w:top w:w="0" w:type="dxa"/>
            <w:left w:w="10" w:type="dxa"/>
            <w:bottom w:w="0" w:type="dxa"/>
            <w:right w:w="10" w:type="dxa"/>
          </w:tblCellMar>
        </w:tblPrEx>
        <w:trPr>
          <w:trHeight w:val="465" w:hRule="atLeast"/>
          <w:jc w:val="center"/>
        </w:trPr>
        <w:tc>
          <w:tcPr>
            <w:tcW w:w="15164" w:type="dxa"/>
            <w:gridSpan w:val="29"/>
            <w:tcBorders>
              <w:top w:val="nil"/>
              <w:left w:val="nil"/>
              <w:bottom w:val="nil"/>
              <w:right w:val="nil"/>
            </w:tcBorders>
            <w:tcMar>
              <w:top w:w="0" w:type="dxa"/>
              <w:left w:w="108" w:type="dxa"/>
              <w:bottom w:w="0" w:type="dxa"/>
              <w:right w:w="108" w:type="dxa"/>
            </w:tcMar>
            <w:vAlign w:val="center"/>
          </w:tcPr>
          <w:p>
            <w:pPr>
              <w:spacing w:line="500" w:lineRule="exact"/>
              <w:jc w:val="center"/>
              <w:rPr>
                <w:rFonts w:hint="eastAsia" w:ascii="仿宋" w:hAnsi="仿宋" w:eastAsia="仿宋" w:cs="仿宋"/>
                <w:sz w:val="36"/>
                <w:szCs w:val="36"/>
              </w:rPr>
            </w:pPr>
            <w:r>
              <w:rPr>
                <w:rFonts w:hint="eastAsia" w:ascii="仿宋" w:hAnsi="仿宋" w:eastAsia="仿宋" w:cs="仿宋"/>
                <w:sz w:val="36"/>
                <w:szCs w:val="36"/>
                <w:u w:val="single"/>
              </w:rPr>
              <w:t>2024</w:t>
            </w:r>
            <w:r>
              <w:rPr>
                <w:rFonts w:hint="eastAsia" w:ascii="仿宋" w:hAnsi="仿宋" w:eastAsia="仿宋" w:cs="仿宋"/>
                <w:sz w:val="36"/>
                <w:szCs w:val="36"/>
              </w:rPr>
              <w:t>年</w:t>
            </w:r>
            <w:r>
              <w:rPr>
                <w:rFonts w:hint="eastAsia" w:ascii="仿宋" w:hAnsi="仿宋" w:eastAsia="仿宋" w:cs="仿宋"/>
                <w:sz w:val="36"/>
                <w:szCs w:val="36"/>
                <w:u w:val="single"/>
              </w:rPr>
              <w:t>铁匠坞</w:t>
            </w:r>
            <w:r>
              <w:rPr>
                <w:rFonts w:hint="eastAsia" w:ascii="仿宋" w:hAnsi="仿宋" w:eastAsia="仿宋" w:cs="仿宋"/>
                <w:sz w:val="36"/>
                <w:szCs w:val="36"/>
              </w:rPr>
              <w:t>水库防洪抢险应急预案简表</w:t>
            </w:r>
          </w:p>
        </w:tc>
      </w:tr>
      <w:tr>
        <w:tblPrEx>
          <w:tblCellMar>
            <w:top w:w="0" w:type="dxa"/>
            <w:left w:w="10" w:type="dxa"/>
            <w:bottom w:w="0" w:type="dxa"/>
            <w:right w:w="10" w:type="dxa"/>
          </w:tblCellMar>
        </w:tblPrEx>
        <w:trPr>
          <w:trHeight w:val="499" w:hRule="atLeast"/>
          <w:jc w:val="center"/>
        </w:trPr>
        <w:tc>
          <w:tcPr>
            <w:tcW w:w="15164" w:type="dxa"/>
            <w:gridSpan w:val="29"/>
            <w:tcBorders>
              <w:top w:val="nil"/>
              <w:left w:val="nil"/>
              <w:bottom w:val="nil"/>
              <w:right w:val="nil"/>
            </w:tcBorders>
            <w:tcMar>
              <w:top w:w="0" w:type="dxa"/>
              <w:left w:w="108" w:type="dxa"/>
              <w:bottom w:w="0" w:type="dxa"/>
              <w:right w:w="108" w:type="dxa"/>
            </w:tcMar>
            <w:vAlign w:val="center"/>
          </w:tcPr>
          <w:p>
            <w:pPr>
              <w:spacing w:line="500" w:lineRule="exact"/>
              <w:jc w:val="center"/>
              <w:rPr>
                <w:rFonts w:hint="eastAsia" w:ascii="仿宋" w:hAnsi="仿宋" w:eastAsia="仿宋" w:cs="仿宋"/>
                <w:b/>
                <w:bCs/>
                <w:sz w:val="22"/>
                <w:szCs w:val="22"/>
              </w:rPr>
            </w:pPr>
            <w:r>
              <w:rPr>
                <w:rFonts w:hint="eastAsia" w:ascii="仿宋" w:hAnsi="仿宋" w:eastAsia="仿宋" w:cs="仿宋"/>
                <w:b/>
                <w:bCs/>
                <w:sz w:val="22"/>
                <w:szCs w:val="22"/>
              </w:rPr>
              <w:t>所在县（市、区）：浮梁县      位置：湘湖镇东安村          所在流域及水系：饶河昌江支流南河        高程系统：  黄海高程</w:t>
            </w:r>
          </w:p>
        </w:tc>
      </w:tr>
      <w:tr>
        <w:tblPrEx>
          <w:tblCellMar>
            <w:top w:w="0" w:type="dxa"/>
            <w:left w:w="10" w:type="dxa"/>
            <w:bottom w:w="0" w:type="dxa"/>
            <w:right w:w="10" w:type="dxa"/>
          </w:tblCellMar>
        </w:tblPrEx>
        <w:trPr>
          <w:trHeight w:val="665" w:hRule="atLeast"/>
          <w:jc w:val="center"/>
        </w:trPr>
        <w:tc>
          <w:tcPr>
            <w:tcW w:w="436"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工程特性</w:t>
            </w:r>
          </w:p>
        </w:tc>
        <w:tc>
          <w:tcPr>
            <w:tcW w:w="1020"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规模</w:t>
            </w:r>
          </w:p>
        </w:tc>
        <w:tc>
          <w:tcPr>
            <w:tcW w:w="755"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主坝类型</w:t>
            </w:r>
          </w:p>
        </w:tc>
        <w:tc>
          <w:tcPr>
            <w:tcW w:w="2723" w:type="dxa"/>
            <w:gridSpan w:val="5"/>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管理机构</w:t>
            </w:r>
          </w:p>
        </w:tc>
        <w:tc>
          <w:tcPr>
            <w:tcW w:w="107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集雨面积（km</w:t>
            </w:r>
            <w:r>
              <w:rPr>
                <w:rFonts w:hint="eastAsia" w:ascii="仿宋" w:hAnsi="仿宋" w:eastAsia="仿宋" w:cs="仿宋"/>
                <w:sz w:val="22"/>
                <w:szCs w:val="22"/>
                <w:vertAlign w:val="superscript"/>
              </w:rPr>
              <w:t>2</w:t>
            </w:r>
            <w:r>
              <w:rPr>
                <w:rFonts w:hint="eastAsia" w:ascii="仿宋" w:hAnsi="仿宋" w:eastAsia="仿宋" w:cs="仿宋"/>
                <w:sz w:val="22"/>
                <w:szCs w:val="22"/>
              </w:rPr>
              <w:t>）</w:t>
            </w:r>
          </w:p>
        </w:tc>
        <w:tc>
          <w:tcPr>
            <w:tcW w:w="2016"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总库容（万m</w:t>
            </w:r>
            <w:r>
              <w:rPr>
                <w:rFonts w:hint="eastAsia" w:ascii="仿宋" w:hAnsi="仿宋" w:eastAsia="仿宋" w:cs="仿宋"/>
                <w:sz w:val="22"/>
                <w:szCs w:val="22"/>
                <w:vertAlign w:val="superscript"/>
              </w:rPr>
              <w:t>3</w:t>
            </w:r>
            <w:r>
              <w:rPr>
                <w:rFonts w:hint="eastAsia" w:ascii="仿宋" w:hAnsi="仿宋" w:eastAsia="仿宋" w:cs="仿宋"/>
                <w:sz w:val="22"/>
                <w:szCs w:val="22"/>
              </w:rPr>
              <w:t>）</w:t>
            </w:r>
          </w:p>
        </w:tc>
        <w:tc>
          <w:tcPr>
            <w:tcW w:w="1289"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汛限水位（主/后）</w:t>
            </w:r>
          </w:p>
        </w:tc>
        <w:tc>
          <w:tcPr>
            <w:tcW w:w="1372"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正常蓄水位</w:t>
            </w:r>
          </w:p>
        </w:tc>
        <w:tc>
          <w:tcPr>
            <w:tcW w:w="142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设计洪水标准</w:t>
            </w:r>
          </w:p>
        </w:tc>
        <w:tc>
          <w:tcPr>
            <w:tcW w:w="889"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设计洪水位</w:t>
            </w:r>
          </w:p>
        </w:tc>
        <w:tc>
          <w:tcPr>
            <w:tcW w:w="1003"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校核洪水标准</w:t>
            </w:r>
          </w:p>
        </w:tc>
        <w:tc>
          <w:tcPr>
            <w:tcW w:w="1169"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校核洪水位</w:t>
            </w:r>
          </w:p>
        </w:tc>
      </w:tr>
      <w:tr>
        <w:tblPrEx>
          <w:tblCellMar>
            <w:top w:w="0" w:type="dxa"/>
            <w:left w:w="10" w:type="dxa"/>
            <w:bottom w:w="0" w:type="dxa"/>
            <w:right w:w="10" w:type="dxa"/>
          </w:tblCellMar>
        </w:tblPrEx>
        <w:trPr>
          <w:trHeight w:val="714" w:hRule="atLeast"/>
          <w:jc w:val="center"/>
        </w:trPr>
        <w:tc>
          <w:tcPr>
            <w:tcW w:w="436"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仿宋" w:hAnsi="仿宋" w:eastAsia="仿宋" w:cs="仿宋"/>
                <w:sz w:val="22"/>
                <w:szCs w:val="22"/>
              </w:rPr>
            </w:pPr>
          </w:p>
        </w:tc>
        <w:tc>
          <w:tcPr>
            <w:tcW w:w="1020"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小（二）型</w:t>
            </w:r>
          </w:p>
        </w:tc>
        <w:tc>
          <w:tcPr>
            <w:tcW w:w="755"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斜墙土坝</w:t>
            </w:r>
          </w:p>
        </w:tc>
        <w:tc>
          <w:tcPr>
            <w:tcW w:w="2723" w:type="dxa"/>
            <w:gridSpan w:val="5"/>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湘湖镇人民政府</w:t>
            </w:r>
          </w:p>
        </w:tc>
        <w:tc>
          <w:tcPr>
            <w:tcW w:w="1071"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0.77</w:t>
            </w:r>
          </w:p>
        </w:tc>
        <w:tc>
          <w:tcPr>
            <w:tcW w:w="2016"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20.4</w:t>
            </w:r>
          </w:p>
        </w:tc>
        <w:tc>
          <w:tcPr>
            <w:tcW w:w="1289"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94.5</w:t>
            </w:r>
            <w:bookmarkStart w:id="0" w:name="_GoBack"/>
            <w:bookmarkEnd w:id="0"/>
          </w:p>
        </w:tc>
        <w:tc>
          <w:tcPr>
            <w:tcW w:w="1372"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94.5</w:t>
            </w:r>
          </w:p>
        </w:tc>
        <w:tc>
          <w:tcPr>
            <w:tcW w:w="1421"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5%</w:t>
            </w:r>
          </w:p>
        </w:tc>
        <w:tc>
          <w:tcPr>
            <w:tcW w:w="889"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95.53</w:t>
            </w:r>
          </w:p>
        </w:tc>
        <w:tc>
          <w:tcPr>
            <w:tcW w:w="1003"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0.5%</w:t>
            </w:r>
          </w:p>
        </w:tc>
        <w:tc>
          <w:tcPr>
            <w:tcW w:w="1169"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96.47</w:t>
            </w:r>
          </w:p>
        </w:tc>
      </w:tr>
      <w:tr>
        <w:tblPrEx>
          <w:tblCellMar>
            <w:top w:w="0" w:type="dxa"/>
            <w:left w:w="10" w:type="dxa"/>
            <w:bottom w:w="0" w:type="dxa"/>
            <w:right w:w="10" w:type="dxa"/>
          </w:tblCellMar>
        </w:tblPrEx>
        <w:trPr>
          <w:trHeight w:val="443" w:hRule="atLeast"/>
          <w:jc w:val="center"/>
        </w:trPr>
        <w:tc>
          <w:tcPr>
            <w:tcW w:w="436"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防汛责任人</w:t>
            </w:r>
          </w:p>
        </w:tc>
        <w:tc>
          <w:tcPr>
            <w:tcW w:w="3417" w:type="dxa"/>
            <w:gridSpan w:val="9"/>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行政责任人</w:t>
            </w:r>
          </w:p>
        </w:tc>
        <w:tc>
          <w:tcPr>
            <w:tcW w:w="4168"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直接责任人</w:t>
            </w:r>
          </w:p>
        </w:tc>
        <w:tc>
          <w:tcPr>
            <w:tcW w:w="3922" w:type="dxa"/>
            <w:gridSpan w:val="5"/>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技术责任人</w:t>
            </w:r>
          </w:p>
        </w:tc>
        <w:tc>
          <w:tcPr>
            <w:tcW w:w="3221" w:type="dxa"/>
            <w:gridSpan w:val="8"/>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巡查责任人</w:t>
            </w:r>
          </w:p>
        </w:tc>
      </w:tr>
      <w:tr>
        <w:tblPrEx>
          <w:tblCellMar>
            <w:top w:w="0" w:type="dxa"/>
            <w:left w:w="10" w:type="dxa"/>
            <w:bottom w:w="0" w:type="dxa"/>
            <w:right w:w="10" w:type="dxa"/>
          </w:tblCellMar>
        </w:tblPrEx>
        <w:trPr>
          <w:trHeight w:val="616" w:hRule="atLeast"/>
          <w:jc w:val="center"/>
        </w:trPr>
        <w:tc>
          <w:tcPr>
            <w:tcW w:w="43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仿宋" w:hAnsi="仿宋" w:eastAsia="仿宋" w:cs="仿宋"/>
                <w:sz w:val="22"/>
                <w:szCs w:val="22"/>
              </w:rPr>
            </w:pPr>
          </w:p>
        </w:tc>
        <w:tc>
          <w:tcPr>
            <w:tcW w:w="986"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849" w:type="dxa"/>
            <w:gridSpan w:val="5"/>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单位</w:t>
            </w:r>
          </w:p>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及职务</w:t>
            </w:r>
          </w:p>
        </w:tc>
        <w:tc>
          <w:tcPr>
            <w:tcW w:w="1582"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c>
          <w:tcPr>
            <w:tcW w:w="1020"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1132"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单位</w:t>
            </w:r>
          </w:p>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及职务</w:t>
            </w:r>
          </w:p>
        </w:tc>
        <w:tc>
          <w:tcPr>
            <w:tcW w:w="2016"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c>
          <w:tcPr>
            <w:tcW w:w="1289"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1067"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单位及职务</w:t>
            </w:r>
          </w:p>
        </w:tc>
        <w:tc>
          <w:tcPr>
            <w:tcW w:w="1566"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c>
          <w:tcPr>
            <w:tcW w:w="768"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902"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单位</w:t>
            </w:r>
          </w:p>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及职务</w:t>
            </w:r>
          </w:p>
        </w:tc>
        <w:tc>
          <w:tcPr>
            <w:tcW w:w="1551"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r>
      <w:tr>
        <w:tblPrEx>
          <w:tblCellMar>
            <w:top w:w="0" w:type="dxa"/>
            <w:left w:w="10" w:type="dxa"/>
            <w:bottom w:w="0" w:type="dxa"/>
            <w:right w:w="10" w:type="dxa"/>
          </w:tblCellMar>
        </w:tblPrEx>
        <w:trPr>
          <w:trHeight w:val="629" w:hRule="atLeast"/>
          <w:jc w:val="center"/>
        </w:trPr>
        <w:tc>
          <w:tcPr>
            <w:tcW w:w="43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仿宋" w:hAnsi="仿宋" w:eastAsia="仿宋" w:cs="仿宋"/>
                <w:sz w:val="22"/>
                <w:szCs w:val="22"/>
              </w:rPr>
            </w:pPr>
          </w:p>
        </w:tc>
        <w:tc>
          <w:tcPr>
            <w:tcW w:w="986"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bCs/>
                <w:sz w:val="22"/>
                <w:szCs w:val="22"/>
              </w:rPr>
              <w:t>周奇峰</w:t>
            </w:r>
          </w:p>
        </w:tc>
        <w:tc>
          <w:tcPr>
            <w:tcW w:w="849" w:type="dxa"/>
            <w:gridSpan w:val="5"/>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bCs/>
                <w:sz w:val="22"/>
                <w:szCs w:val="22"/>
              </w:rPr>
              <w:t>湘湖镇人民政府镇长</w:t>
            </w:r>
          </w:p>
        </w:tc>
        <w:tc>
          <w:tcPr>
            <w:tcW w:w="1582"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bCs/>
                <w:sz w:val="22"/>
                <w:szCs w:val="22"/>
              </w:rPr>
              <w:t>13807986618</w:t>
            </w:r>
          </w:p>
        </w:tc>
        <w:tc>
          <w:tcPr>
            <w:tcW w:w="1020" w:type="dxa"/>
            <w:tcBorders>
              <w:top w:val="nil"/>
              <w:left w:val="nil"/>
              <w:bottom w:val="single" w:color="000000" w:sz="4" w:space="0"/>
              <w:right w:val="single" w:color="000000" w:sz="4" w:space="0"/>
            </w:tcBorders>
            <w:tcMar>
              <w:top w:w="0" w:type="dxa"/>
              <w:left w:w="108" w:type="dxa"/>
              <w:bottom w:w="0" w:type="dxa"/>
              <w:right w:w="108" w:type="dxa"/>
            </w:tcMar>
            <w:vAlign w:val="center"/>
          </w:tcPr>
          <w:p>
            <w:pPr>
              <w:jc w:val="center"/>
              <w:rPr>
                <w:rFonts w:hint="eastAsia" w:ascii="仿宋" w:hAnsi="仿宋" w:eastAsia="仿宋" w:cs="仿宋"/>
                <w:bCs/>
                <w:sz w:val="22"/>
                <w:szCs w:val="22"/>
              </w:rPr>
            </w:pPr>
            <w:r>
              <w:rPr>
                <w:rFonts w:hint="eastAsia" w:ascii="仿宋" w:hAnsi="仿宋" w:eastAsia="仿宋" w:cs="仿宋"/>
                <w:bCs/>
                <w:sz w:val="22"/>
                <w:szCs w:val="22"/>
              </w:rPr>
              <w:t>翟育勇</w:t>
            </w:r>
          </w:p>
        </w:tc>
        <w:tc>
          <w:tcPr>
            <w:tcW w:w="1132"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jc w:val="center"/>
              <w:rPr>
                <w:rFonts w:hint="eastAsia" w:ascii="仿宋" w:hAnsi="仿宋" w:eastAsia="仿宋" w:cs="仿宋"/>
                <w:bCs/>
                <w:sz w:val="22"/>
                <w:szCs w:val="22"/>
              </w:rPr>
            </w:pPr>
            <w:r>
              <w:rPr>
                <w:rFonts w:hint="eastAsia" w:ascii="仿宋" w:hAnsi="仿宋" w:eastAsia="仿宋" w:cs="仿宋"/>
                <w:bCs/>
                <w:sz w:val="22"/>
                <w:szCs w:val="22"/>
              </w:rPr>
              <w:t>副镇长</w:t>
            </w:r>
          </w:p>
        </w:tc>
        <w:tc>
          <w:tcPr>
            <w:tcW w:w="2016"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ind w:right="480"/>
              <w:jc w:val="center"/>
              <w:rPr>
                <w:rFonts w:hint="eastAsia" w:ascii="仿宋" w:hAnsi="仿宋" w:eastAsia="仿宋" w:cs="仿宋"/>
                <w:sz w:val="22"/>
                <w:szCs w:val="22"/>
              </w:rPr>
            </w:pPr>
            <w:r>
              <w:rPr>
                <w:rFonts w:hint="eastAsia" w:ascii="仿宋" w:hAnsi="仿宋" w:eastAsia="仿宋" w:cs="仿宋"/>
                <w:bCs/>
                <w:sz w:val="22"/>
                <w:szCs w:val="22"/>
              </w:rPr>
              <w:t>13507985038</w:t>
            </w:r>
          </w:p>
        </w:tc>
        <w:tc>
          <w:tcPr>
            <w:tcW w:w="1289"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jc w:val="center"/>
              <w:rPr>
                <w:rFonts w:hint="eastAsia" w:ascii="仿宋" w:hAnsi="仿宋" w:eastAsia="仿宋" w:cs="仿宋"/>
                <w:bCs/>
                <w:sz w:val="22"/>
                <w:szCs w:val="22"/>
              </w:rPr>
            </w:pPr>
            <w:r>
              <w:rPr>
                <w:rFonts w:hint="eastAsia" w:ascii="仿宋" w:hAnsi="仿宋" w:eastAsia="仿宋" w:cs="仿宋"/>
                <w:bCs/>
                <w:sz w:val="22"/>
                <w:szCs w:val="22"/>
              </w:rPr>
              <w:t>彭长寿</w:t>
            </w:r>
          </w:p>
        </w:tc>
        <w:tc>
          <w:tcPr>
            <w:tcW w:w="1067" w:type="dxa"/>
            <w:tcBorders>
              <w:top w:val="nil"/>
              <w:left w:val="nil"/>
              <w:bottom w:val="single" w:color="000000" w:sz="4" w:space="0"/>
              <w:right w:val="single" w:color="000000" w:sz="4" w:space="0"/>
            </w:tcBorders>
            <w:tcMar>
              <w:top w:w="0" w:type="dxa"/>
              <w:left w:w="108" w:type="dxa"/>
              <w:bottom w:w="0" w:type="dxa"/>
              <w:right w:w="108" w:type="dxa"/>
            </w:tcMar>
            <w:vAlign w:val="center"/>
          </w:tcPr>
          <w:p>
            <w:pPr>
              <w:jc w:val="center"/>
              <w:rPr>
                <w:rFonts w:hint="eastAsia" w:ascii="仿宋" w:hAnsi="仿宋" w:eastAsia="仿宋" w:cs="仿宋"/>
                <w:sz w:val="22"/>
                <w:szCs w:val="22"/>
              </w:rPr>
            </w:pPr>
            <w:r>
              <w:rPr>
                <w:rFonts w:hint="eastAsia" w:ascii="仿宋" w:hAnsi="仿宋" w:eastAsia="仿宋" w:cs="仿宋"/>
                <w:bCs/>
                <w:sz w:val="22"/>
                <w:szCs w:val="22"/>
              </w:rPr>
              <w:t>水利负责人</w:t>
            </w:r>
          </w:p>
        </w:tc>
        <w:tc>
          <w:tcPr>
            <w:tcW w:w="1566"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bCs/>
                <w:sz w:val="22"/>
                <w:szCs w:val="22"/>
              </w:rPr>
              <w:t>13707987619</w:t>
            </w:r>
          </w:p>
        </w:tc>
        <w:tc>
          <w:tcPr>
            <w:tcW w:w="768"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周云龙</w:t>
            </w:r>
          </w:p>
        </w:tc>
        <w:tc>
          <w:tcPr>
            <w:tcW w:w="902"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水库安全管理员</w:t>
            </w:r>
          </w:p>
        </w:tc>
        <w:tc>
          <w:tcPr>
            <w:tcW w:w="1551"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15870055688</w:t>
            </w:r>
          </w:p>
        </w:tc>
      </w:tr>
      <w:tr>
        <w:tblPrEx>
          <w:tblCellMar>
            <w:top w:w="0" w:type="dxa"/>
            <w:left w:w="10" w:type="dxa"/>
            <w:bottom w:w="0" w:type="dxa"/>
            <w:right w:w="10" w:type="dxa"/>
          </w:tblCellMar>
        </w:tblPrEx>
        <w:trPr>
          <w:trHeight w:val="470" w:hRule="atLeast"/>
          <w:jc w:val="center"/>
        </w:trPr>
        <w:tc>
          <w:tcPr>
            <w:tcW w:w="436"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人员转移与安置</w:t>
            </w:r>
          </w:p>
        </w:tc>
        <w:tc>
          <w:tcPr>
            <w:tcW w:w="14728" w:type="dxa"/>
            <w:gridSpan w:val="28"/>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转移安置主要负责人</w:t>
            </w:r>
          </w:p>
        </w:tc>
      </w:tr>
      <w:tr>
        <w:tblPrEx>
          <w:tblCellMar>
            <w:top w:w="0" w:type="dxa"/>
            <w:left w:w="10" w:type="dxa"/>
            <w:bottom w:w="0" w:type="dxa"/>
            <w:right w:w="10" w:type="dxa"/>
          </w:tblCellMar>
        </w:tblPrEx>
        <w:trPr>
          <w:trHeight w:val="551" w:hRule="atLeast"/>
          <w:jc w:val="center"/>
        </w:trPr>
        <w:tc>
          <w:tcPr>
            <w:tcW w:w="43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仿宋" w:hAnsi="仿宋" w:eastAsia="仿宋" w:cs="仿宋"/>
                <w:sz w:val="22"/>
                <w:szCs w:val="22"/>
              </w:rPr>
            </w:pPr>
          </w:p>
        </w:tc>
        <w:tc>
          <w:tcPr>
            <w:tcW w:w="4498" w:type="dxa"/>
            <w:gridSpan w:val="11"/>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县（市）</w:t>
            </w:r>
          </w:p>
        </w:tc>
        <w:tc>
          <w:tcPr>
            <w:tcW w:w="5748" w:type="dxa"/>
            <w:gridSpan w:val="8"/>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乡（镇）</w:t>
            </w:r>
          </w:p>
        </w:tc>
        <w:tc>
          <w:tcPr>
            <w:tcW w:w="4482" w:type="dxa"/>
            <w:gridSpan w:val="9"/>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村委会</w:t>
            </w:r>
          </w:p>
        </w:tc>
      </w:tr>
      <w:tr>
        <w:tblPrEx>
          <w:tblCellMar>
            <w:top w:w="0" w:type="dxa"/>
            <w:left w:w="10" w:type="dxa"/>
            <w:bottom w:w="0" w:type="dxa"/>
            <w:right w:w="10" w:type="dxa"/>
          </w:tblCellMar>
        </w:tblPrEx>
        <w:trPr>
          <w:trHeight w:val="340" w:hRule="atLeast"/>
          <w:jc w:val="center"/>
        </w:trPr>
        <w:tc>
          <w:tcPr>
            <w:tcW w:w="43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仿宋" w:hAnsi="仿宋" w:eastAsia="仿宋" w:cs="仿宋"/>
                <w:sz w:val="22"/>
                <w:szCs w:val="22"/>
              </w:rPr>
            </w:pPr>
          </w:p>
        </w:tc>
        <w:tc>
          <w:tcPr>
            <w:tcW w:w="1349"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1643"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职务</w:t>
            </w:r>
          </w:p>
        </w:tc>
        <w:tc>
          <w:tcPr>
            <w:tcW w:w="1506"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c>
          <w:tcPr>
            <w:tcW w:w="1667"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2512"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职务</w:t>
            </w:r>
          </w:p>
        </w:tc>
        <w:tc>
          <w:tcPr>
            <w:tcW w:w="1569"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c>
          <w:tcPr>
            <w:tcW w:w="1651"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1003"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职务</w:t>
            </w:r>
          </w:p>
        </w:tc>
        <w:tc>
          <w:tcPr>
            <w:tcW w:w="1828"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r>
      <w:tr>
        <w:tblPrEx>
          <w:tblCellMar>
            <w:top w:w="0" w:type="dxa"/>
            <w:left w:w="10" w:type="dxa"/>
            <w:bottom w:w="0" w:type="dxa"/>
            <w:right w:w="10" w:type="dxa"/>
          </w:tblCellMar>
        </w:tblPrEx>
        <w:trPr>
          <w:trHeight w:val="463" w:hRule="atLeast"/>
          <w:jc w:val="center"/>
        </w:trPr>
        <w:tc>
          <w:tcPr>
            <w:tcW w:w="43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仿宋" w:hAnsi="仿宋" w:eastAsia="仿宋" w:cs="仿宋"/>
                <w:sz w:val="22"/>
                <w:szCs w:val="22"/>
              </w:rPr>
            </w:pPr>
          </w:p>
        </w:tc>
        <w:tc>
          <w:tcPr>
            <w:tcW w:w="1349"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jc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王天才</w:t>
            </w:r>
          </w:p>
        </w:tc>
        <w:tc>
          <w:tcPr>
            <w:tcW w:w="1643"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jc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县委常委组织部长</w:t>
            </w:r>
          </w:p>
        </w:tc>
        <w:tc>
          <w:tcPr>
            <w:tcW w:w="1506"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jc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13907985991</w:t>
            </w:r>
          </w:p>
        </w:tc>
        <w:tc>
          <w:tcPr>
            <w:tcW w:w="1667"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sz w:val="22"/>
                <w:szCs w:val="22"/>
              </w:rPr>
              <w:t>宁志强</w:t>
            </w:r>
          </w:p>
        </w:tc>
        <w:tc>
          <w:tcPr>
            <w:tcW w:w="2512"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sz w:val="22"/>
                <w:szCs w:val="22"/>
              </w:rPr>
              <w:t>常务副镇长</w:t>
            </w:r>
          </w:p>
        </w:tc>
        <w:tc>
          <w:tcPr>
            <w:tcW w:w="1569"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sz w:val="22"/>
                <w:szCs w:val="22"/>
              </w:rPr>
              <w:t>13879815800</w:t>
            </w:r>
          </w:p>
        </w:tc>
        <w:tc>
          <w:tcPr>
            <w:tcW w:w="1651"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sz w:val="22"/>
                <w:szCs w:val="22"/>
              </w:rPr>
              <w:t>董立春</w:t>
            </w:r>
          </w:p>
        </w:tc>
        <w:tc>
          <w:tcPr>
            <w:tcW w:w="1003"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sz w:val="22"/>
                <w:szCs w:val="22"/>
              </w:rPr>
              <w:t>村支书</w:t>
            </w:r>
          </w:p>
        </w:tc>
        <w:tc>
          <w:tcPr>
            <w:tcW w:w="1828"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sz w:val="22"/>
                <w:szCs w:val="22"/>
              </w:rPr>
              <w:t>15079872222</w:t>
            </w:r>
          </w:p>
        </w:tc>
      </w:tr>
      <w:tr>
        <w:tblPrEx>
          <w:tblCellMar>
            <w:top w:w="0" w:type="dxa"/>
            <w:left w:w="10" w:type="dxa"/>
            <w:bottom w:w="0" w:type="dxa"/>
            <w:right w:w="10" w:type="dxa"/>
          </w:tblCellMar>
        </w:tblPrEx>
        <w:trPr>
          <w:trHeight w:val="616" w:hRule="atLeast"/>
          <w:jc w:val="center"/>
        </w:trPr>
        <w:tc>
          <w:tcPr>
            <w:tcW w:w="43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仿宋" w:hAnsi="仿宋" w:eastAsia="仿宋" w:cs="仿宋"/>
                <w:sz w:val="22"/>
                <w:szCs w:val="22"/>
              </w:rPr>
            </w:pPr>
          </w:p>
        </w:tc>
        <w:tc>
          <w:tcPr>
            <w:tcW w:w="953"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乡（镇）</w:t>
            </w:r>
          </w:p>
        </w:tc>
        <w:tc>
          <w:tcPr>
            <w:tcW w:w="727"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村委会</w:t>
            </w:r>
          </w:p>
        </w:tc>
        <w:tc>
          <w:tcPr>
            <w:tcW w:w="1737"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自然村</w:t>
            </w:r>
          </w:p>
        </w:tc>
        <w:tc>
          <w:tcPr>
            <w:tcW w:w="1081"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居住高程(m)</w:t>
            </w:r>
          </w:p>
        </w:tc>
        <w:tc>
          <w:tcPr>
            <w:tcW w:w="1206"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转移户数(户)</w:t>
            </w:r>
          </w:p>
        </w:tc>
        <w:tc>
          <w:tcPr>
            <w:tcW w:w="1881"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转移人口(人)</w:t>
            </w:r>
          </w:p>
        </w:tc>
        <w:tc>
          <w:tcPr>
            <w:tcW w:w="1289"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转移安置地</w:t>
            </w:r>
          </w:p>
        </w:tc>
        <w:tc>
          <w:tcPr>
            <w:tcW w:w="1372"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转移距离(km)</w:t>
            </w:r>
          </w:p>
        </w:tc>
        <w:tc>
          <w:tcPr>
            <w:tcW w:w="2654"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转移路线</w:t>
            </w:r>
          </w:p>
        </w:tc>
        <w:tc>
          <w:tcPr>
            <w:tcW w:w="1828"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转移交通工具</w:t>
            </w:r>
          </w:p>
        </w:tc>
      </w:tr>
      <w:tr>
        <w:tblPrEx>
          <w:tblCellMar>
            <w:top w:w="0" w:type="dxa"/>
            <w:left w:w="10" w:type="dxa"/>
            <w:bottom w:w="0" w:type="dxa"/>
            <w:right w:w="10" w:type="dxa"/>
          </w:tblCellMar>
        </w:tblPrEx>
        <w:trPr>
          <w:trHeight w:val="324" w:hRule="atLeast"/>
          <w:jc w:val="center"/>
        </w:trPr>
        <w:tc>
          <w:tcPr>
            <w:tcW w:w="436" w:type="dxa"/>
            <w:vMerge w:val="continue"/>
            <w:tcBorders>
              <w:top w:val="nil"/>
              <w:left w:val="single" w:color="000000" w:sz="4" w:space="0"/>
              <w:bottom w:val="nil"/>
              <w:right w:val="single" w:color="000000" w:sz="4" w:space="0"/>
            </w:tcBorders>
            <w:tcMar>
              <w:top w:w="0" w:type="dxa"/>
              <w:left w:w="108" w:type="dxa"/>
              <w:bottom w:w="0" w:type="dxa"/>
              <w:right w:w="108" w:type="dxa"/>
            </w:tcMar>
            <w:vAlign w:val="center"/>
          </w:tcPr>
          <w:p>
            <w:pPr>
              <w:jc w:val="center"/>
              <w:rPr>
                <w:rFonts w:hint="eastAsia" w:ascii="仿宋" w:hAnsi="仿宋" w:eastAsia="仿宋" w:cs="仿宋"/>
                <w:sz w:val="22"/>
                <w:szCs w:val="22"/>
              </w:rPr>
            </w:pPr>
          </w:p>
        </w:tc>
        <w:tc>
          <w:tcPr>
            <w:tcW w:w="953"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湘湖镇</w:t>
            </w:r>
          </w:p>
        </w:tc>
        <w:tc>
          <w:tcPr>
            <w:tcW w:w="727"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东安村</w:t>
            </w:r>
          </w:p>
        </w:tc>
        <w:tc>
          <w:tcPr>
            <w:tcW w:w="1737"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鲤鱼桥</w:t>
            </w:r>
          </w:p>
        </w:tc>
        <w:tc>
          <w:tcPr>
            <w:tcW w:w="108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63</w:t>
            </w:r>
          </w:p>
        </w:tc>
        <w:tc>
          <w:tcPr>
            <w:tcW w:w="1206"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12</w:t>
            </w:r>
          </w:p>
        </w:tc>
        <w:tc>
          <w:tcPr>
            <w:tcW w:w="188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38</w:t>
            </w:r>
          </w:p>
        </w:tc>
        <w:tc>
          <w:tcPr>
            <w:tcW w:w="1289"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村后高地</w:t>
            </w:r>
          </w:p>
        </w:tc>
        <w:tc>
          <w:tcPr>
            <w:tcW w:w="1372"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0.1</w:t>
            </w:r>
          </w:p>
        </w:tc>
        <w:tc>
          <w:tcPr>
            <w:tcW w:w="2654"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就近</w:t>
            </w:r>
          </w:p>
        </w:tc>
        <w:tc>
          <w:tcPr>
            <w:tcW w:w="1828"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徒步</w:t>
            </w:r>
          </w:p>
        </w:tc>
      </w:tr>
      <w:tr>
        <w:tblPrEx>
          <w:tblCellMar>
            <w:top w:w="0" w:type="dxa"/>
            <w:left w:w="10" w:type="dxa"/>
            <w:bottom w:w="0" w:type="dxa"/>
            <w:right w:w="10" w:type="dxa"/>
          </w:tblCellMar>
        </w:tblPrEx>
        <w:trPr>
          <w:trHeight w:val="324" w:hRule="atLeast"/>
          <w:jc w:val="center"/>
        </w:trPr>
        <w:tc>
          <w:tcPr>
            <w:tcW w:w="436" w:type="dxa"/>
            <w:tcBorders>
              <w:top w:val="nil"/>
              <w:left w:val="single" w:color="000000" w:sz="4" w:space="0"/>
              <w:bottom w:val="nil"/>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953"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湘湖镇</w:t>
            </w:r>
          </w:p>
        </w:tc>
        <w:tc>
          <w:tcPr>
            <w:tcW w:w="727"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东安村</w:t>
            </w:r>
          </w:p>
        </w:tc>
        <w:tc>
          <w:tcPr>
            <w:tcW w:w="1737"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余村</w:t>
            </w:r>
          </w:p>
        </w:tc>
        <w:tc>
          <w:tcPr>
            <w:tcW w:w="108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63</w:t>
            </w:r>
          </w:p>
        </w:tc>
        <w:tc>
          <w:tcPr>
            <w:tcW w:w="1206"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13</w:t>
            </w:r>
          </w:p>
        </w:tc>
        <w:tc>
          <w:tcPr>
            <w:tcW w:w="188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42</w:t>
            </w:r>
          </w:p>
        </w:tc>
        <w:tc>
          <w:tcPr>
            <w:tcW w:w="1289"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村后高地</w:t>
            </w:r>
          </w:p>
        </w:tc>
        <w:tc>
          <w:tcPr>
            <w:tcW w:w="1372"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0.1</w:t>
            </w:r>
          </w:p>
        </w:tc>
        <w:tc>
          <w:tcPr>
            <w:tcW w:w="2654"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就近</w:t>
            </w:r>
          </w:p>
        </w:tc>
        <w:tc>
          <w:tcPr>
            <w:tcW w:w="1828"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徒步</w:t>
            </w:r>
          </w:p>
        </w:tc>
      </w:tr>
    </w:tbl>
    <w:p/>
    <w:sectPr>
      <w:endnotePr>
        <w:numFmt w:val="decimal"/>
      </w:endnotePr>
      <w:pgSz w:w="16838" w:h="11906" w:orient="landscape"/>
      <w:pgMar w:top="720" w:right="720" w:bottom="720" w:left="72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0"/>
  <w:drawingGridVerticalSpacing w:val="156"/>
  <w:characterSpacingControl w:val="doNotCompress"/>
  <w:footnotePr>
    <w:footnote w:id="0"/>
    <w:footnote w:id="1"/>
  </w:footnotePr>
  <w:endnotePr>
    <w:numFmt w:val="decimal"/>
    <w:endnote w:id="0"/>
    <w:endnote w:id="1"/>
  </w:endnotePr>
  <w:compat>
    <w:doNotExpandShiftReturn/>
    <w:useFELayout/>
    <w:compatSetting w:name="compatibilityMode" w:uri="http://schemas.microsoft.com/office/word" w:val="12"/>
  </w:compat>
  <w:docVars>
    <w:docVar w:name="commondata" w:val="eyJoZGlkIjoiODZlMzQ1MjVkNzNiNmJmMDk2Y2NhNDBiMWEyYzViMDUifQ=="/>
  </w:docVars>
  <w:rsids>
    <w:rsidRoot w:val="00B36979"/>
    <w:rsid w:val="001C63EA"/>
    <w:rsid w:val="003A6337"/>
    <w:rsid w:val="00493DDB"/>
    <w:rsid w:val="00600F2C"/>
    <w:rsid w:val="00640E00"/>
    <w:rsid w:val="006823C2"/>
    <w:rsid w:val="00793C2A"/>
    <w:rsid w:val="00A37485"/>
    <w:rsid w:val="00B36979"/>
    <w:rsid w:val="00B874ED"/>
    <w:rsid w:val="00D27F88"/>
    <w:rsid w:val="00E4646A"/>
    <w:rsid w:val="00E84236"/>
    <w:rsid w:val="00F8240D"/>
    <w:rsid w:val="0D592105"/>
    <w:rsid w:val="4F895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Theme="minorEastAsia"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spacing w:line="360" w:lineRule="auto"/>
      <w:jc w:val="both"/>
    </w:pPr>
    <w:rPr>
      <w:rFonts w:ascii="Calibri" w:hAnsi="Calibri" w:cs="宋体" w:eastAsiaTheme="minorEastAsia"/>
      <w:kern w:val="1"/>
      <w:sz w:val="24"/>
      <w:szCs w:val="24"/>
      <w:lang w:val="en-US" w:eastAsia="zh-CN" w:bidi="ar-SA"/>
    </w:rPr>
  </w:style>
  <w:style w:type="character" w:default="1" w:styleId="6">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qFormat/>
    <w:uiPriority w:val="0"/>
    <w:pPr>
      <w:widowControl w:val="0"/>
      <w:pBdr>
        <w:top w:val="none" w:color="000000" w:sz="0" w:space="0"/>
        <w:left w:val="none" w:color="000000" w:sz="0" w:space="0"/>
        <w:bottom w:val="none" w:color="000000" w:sz="0" w:space="0"/>
        <w:right w:val="none" w:color="000000" w:sz="0" w:space="0"/>
        <w:between w:val="none" w:color="000000" w:sz="0" w:space="0"/>
      </w:pBdr>
      <w:spacing w:line="240" w:lineRule="auto"/>
      <w:jc w:val="both"/>
    </w:pPr>
    <w:rPr>
      <w:rFonts w:ascii="Calibri" w:hAnsi="Calibri" w:cs="宋体" w:eastAsiaTheme="minorEastAsia"/>
      <w:kern w:val="1"/>
      <w:sz w:val="18"/>
      <w:szCs w:val="18"/>
      <w:lang w:val="en-US" w:eastAsia="zh-CN" w:bidi="ar-SA"/>
    </w:rPr>
  </w:style>
  <w:style w:type="paragraph" w:styleId="3">
    <w:name w:val="footer"/>
    <w:basedOn w:val="1"/>
    <w:link w:val="18"/>
    <w:semiHidden/>
    <w:unhideWhenUsed/>
    <w:uiPriority w:val="99"/>
    <w:pPr>
      <w:tabs>
        <w:tab w:val="center" w:pos="4153"/>
        <w:tab w:val="right" w:pos="8306"/>
      </w:tabs>
      <w:snapToGrid w:val="0"/>
      <w:spacing w:line="240" w:lineRule="auto"/>
      <w:jc w:val="left"/>
    </w:pPr>
    <w:rPr>
      <w:sz w:val="18"/>
      <w:szCs w:val="18"/>
    </w:rPr>
  </w:style>
  <w:style w:type="paragraph" w:styleId="4">
    <w:name w:val="header"/>
    <w:basedOn w:val="1"/>
    <w:link w:val="17"/>
    <w:semiHidden/>
    <w:unhideWhenUsed/>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7">
    <w:name w:val="List Paragraph"/>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360" w:lineRule="auto"/>
      <w:ind w:firstLine="420"/>
      <w:jc w:val="both"/>
    </w:pPr>
    <w:rPr>
      <w:rFonts w:ascii="Calibri" w:hAnsi="Calibri" w:cs="宋体" w:eastAsiaTheme="minorEastAsia"/>
      <w:kern w:val="1"/>
      <w:sz w:val="24"/>
      <w:szCs w:val="24"/>
      <w:lang w:val="en-US" w:eastAsia="zh-CN" w:bidi="ar-SA"/>
    </w:rPr>
  </w:style>
  <w:style w:type="paragraph" w:customStyle="1" w:styleId="8">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spacing w:line="240" w:lineRule="auto"/>
      <w:jc w:val="center"/>
    </w:pPr>
    <w:rPr>
      <w:rFonts w:ascii="Calibri" w:hAnsi="Calibri" w:cs="宋体" w:eastAsiaTheme="minorEastAsia"/>
      <w:kern w:val="1"/>
      <w:sz w:val="18"/>
      <w:szCs w:val="18"/>
      <w:lang w:val="en-US" w:eastAsia="zh-CN" w:bidi="ar-SA"/>
    </w:rPr>
  </w:style>
  <w:style w:type="paragraph" w:customStyle="1" w:styleId="9">
    <w:name w:val="Footer"/>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spacing w:line="240" w:lineRule="auto"/>
      <w:jc w:val="left"/>
    </w:pPr>
    <w:rPr>
      <w:rFonts w:ascii="Calibri" w:hAnsi="Calibri" w:cs="宋体" w:eastAsiaTheme="minorEastAsia"/>
      <w:kern w:val="1"/>
      <w:sz w:val="18"/>
      <w:szCs w:val="18"/>
      <w:lang w:val="en-US" w:eastAsia="zh-CN" w:bidi="ar-SA"/>
    </w:rPr>
  </w:style>
  <w:style w:type="paragraph" w:customStyle="1" w:styleId="10">
    <w:name w:val="Header1"/>
    <w:qFormat/>
    <w:uiPriority w:val="0"/>
    <w:pPr>
      <w:widowControl w:val="0"/>
      <w:pBdr>
        <w:top w:val="none" w:color="000000" w:sz="0" w:space="0"/>
        <w:left w:val="none" w:color="000000" w:sz="0" w:space="0"/>
        <w:bottom w:val="single" w:color="000000" w:sz="6" w:space="1"/>
        <w:right w:val="none" w:color="000000" w:sz="0" w:space="0"/>
        <w:between w:val="none" w:color="000000" w:sz="0" w:space="0"/>
      </w:pBdr>
      <w:tabs>
        <w:tab w:val="center" w:pos="4153"/>
        <w:tab w:val="right" w:pos="8306"/>
      </w:tabs>
      <w:spacing w:line="240" w:lineRule="auto"/>
      <w:jc w:val="center"/>
    </w:pPr>
    <w:rPr>
      <w:rFonts w:ascii="Calibri" w:hAnsi="Calibri" w:cs="宋体" w:eastAsiaTheme="minorEastAsia"/>
      <w:kern w:val="1"/>
      <w:sz w:val="18"/>
      <w:szCs w:val="18"/>
      <w:lang w:val="en-US" w:eastAsia="zh-CN" w:bidi="ar-SA"/>
    </w:rPr>
  </w:style>
  <w:style w:type="paragraph" w:customStyle="1" w:styleId="11">
    <w:name w:val="Footer1"/>
    <w:qFormat/>
    <w:uiPriority w:val="0"/>
    <w:pPr>
      <w:widowControl w:val="0"/>
      <w:pBdr>
        <w:top w:val="none" w:color="000000" w:sz="0" w:space="0"/>
        <w:left w:val="none" w:color="000000" w:sz="0" w:space="0"/>
        <w:bottom w:val="none" w:color="000000" w:sz="0" w:space="0"/>
        <w:right w:val="none" w:color="000000" w:sz="0" w:space="0"/>
        <w:between w:val="none" w:color="000000" w:sz="0" w:space="0"/>
      </w:pBdr>
      <w:tabs>
        <w:tab w:val="center" w:pos="4153"/>
        <w:tab w:val="right" w:pos="8306"/>
      </w:tabs>
      <w:spacing w:line="240" w:lineRule="auto"/>
      <w:jc w:val="left"/>
    </w:pPr>
    <w:rPr>
      <w:rFonts w:ascii="Calibri" w:hAnsi="Calibri" w:cs="宋体" w:eastAsiaTheme="minorEastAsia"/>
      <w:kern w:val="1"/>
      <w:sz w:val="18"/>
      <w:szCs w:val="18"/>
      <w:lang w:val="en-US" w:eastAsia="zh-CN" w:bidi="ar-SA"/>
    </w:rPr>
  </w:style>
  <w:style w:type="character" w:customStyle="1" w:styleId="12">
    <w:name w:val="页眉 Char"/>
    <w:uiPriority w:val="0"/>
    <w:rPr>
      <w:sz w:val="18"/>
      <w:szCs w:val="18"/>
    </w:rPr>
  </w:style>
  <w:style w:type="character" w:customStyle="1" w:styleId="13">
    <w:name w:val="页脚 Char"/>
    <w:uiPriority w:val="0"/>
    <w:rPr>
      <w:sz w:val="18"/>
      <w:szCs w:val="18"/>
    </w:rPr>
  </w:style>
  <w:style w:type="character" w:customStyle="1" w:styleId="14">
    <w:name w:val="页眉 Char1"/>
    <w:uiPriority w:val="0"/>
    <w:rPr>
      <w:sz w:val="18"/>
      <w:szCs w:val="18"/>
    </w:rPr>
  </w:style>
  <w:style w:type="character" w:customStyle="1" w:styleId="15">
    <w:name w:val="页脚 Char1"/>
    <w:uiPriority w:val="0"/>
    <w:rPr>
      <w:sz w:val="18"/>
      <w:szCs w:val="18"/>
    </w:rPr>
  </w:style>
  <w:style w:type="character" w:customStyle="1" w:styleId="16">
    <w:name w:val="批注框文本 Char"/>
    <w:uiPriority w:val="0"/>
    <w:rPr>
      <w:sz w:val="18"/>
      <w:szCs w:val="18"/>
    </w:rPr>
  </w:style>
  <w:style w:type="character" w:customStyle="1" w:styleId="17">
    <w:name w:val="页眉 Char2"/>
    <w:basedOn w:val="6"/>
    <w:link w:val="4"/>
    <w:semiHidden/>
    <w:uiPriority w:val="99"/>
    <w:rPr>
      <w:sz w:val="18"/>
      <w:szCs w:val="18"/>
    </w:rPr>
  </w:style>
  <w:style w:type="character" w:customStyle="1" w:styleId="18">
    <w:name w:val="页脚 Char2"/>
    <w:basedOn w:val="6"/>
    <w:link w:val="3"/>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3.png"/><Relationship Id="rId7" Type="http://schemas.openxmlformats.org/officeDocument/2006/relationships/image" Target="media/image2.wmf"/><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majorFont>
      <a:minorFont>
        <a:latin typeface="Calibri"/>
        <a:ea typeface="宋体"/>
        <a:cs typeface="宋体"/>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572</Words>
  <Characters>3262</Characters>
  <Lines>27</Lines>
  <Paragraphs>7</Paragraphs>
  <TotalTime>0</TotalTime>
  <ScaleCrop>false</ScaleCrop>
  <LinksUpToDate>false</LinksUpToDate>
  <CharactersWithSpaces>3827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2018-05-24T07:49:00Z</dcterms:created>
  <dc:creator>Administrator</dc:creator>
  <cp:lastModifiedBy>浮梁县</cp:lastModifiedBy>
  <cp:lastPrinted>2018-05-21T08:01:00Z</cp:lastPrinted>
  <dcterms:modified xsi:type="dcterms:W3CDTF">2024-03-13T15:29:05Z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24F80A91D80D45CEBBFF8F6FF4E43592_12</vt:lpwstr>
  </property>
</Properties>
</file>